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FB" w:rsidRDefault="00B8177E">
      <w:pPr>
        <w:jc w:val="both"/>
        <w:rPr>
          <w:rFonts w:ascii="Arial" w:hAnsi="Arial"/>
          <w:b/>
          <w:sz w:val="22"/>
          <w:u w:val="single"/>
        </w:rPr>
      </w:pPr>
      <w:r w:rsidRPr="009A76F2">
        <w:rPr>
          <w:rFonts w:ascii="Arial" w:hAnsi="Arial"/>
          <w:b/>
          <w:sz w:val="22"/>
        </w:rPr>
        <w:t>ENCUESTA AL GASTO TURISMO INTERNACIONAL</w:t>
      </w:r>
    </w:p>
    <w:p w:rsidR="009A76F2" w:rsidRDefault="009A76F2">
      <w:pPr>
        <w:jc w:val="both"/>
        <w:rPr>
          <w:rFonts w:ascii="Arial" w:hAnsi="Arial"/>
          <w:b/>
          <w:sz w:val="22"/>
          <w:u w:val="single"/>
        </w:rPr>
      </w:pPr>
    </w:p>
    <w:p w:rsidR="009A76F2" w:rsidRPr="009A76F2" w:rsidRDefault="009A76F2">
      <w:pPr>
        <w:jc w:val="both"/>
        <w:rPr>
          <w:rFonts w:ascii="Arial" w:hAnsi="Arial"/>
          <w:b/>
          <w:sz w:val="22"/>
          <w:u w:val="single"/>
        </w:rPr>
      </w:pPr>
      <w:r>
        <w:rPr>
          <w:rFonts w:ascii="Arial" w:hAnsi="Arial"/>
          <w:b/>
          <w:sz w:val="22"/>
          <w:u w:val="single"/>
        </w:rPr>
        <w:t>TRATAMIENTO DE LAS ENCUESTAS</w:t>
      </w:r>
    </w:p>
    <w:p w:rsidR="009A76F2" w:rsidRPr="009A76F2" w:rsidRDefault="009A76F2">
      <w:pPr>
        <w:jc w:val="both"/>
        <w:rPr>
          <w:rFonts w:ascii="Arial" w:hAnsi="Arial"/>
          <w:b/>
          <w:sz w:val="22"/>
        </w:rPr>
      </w:pP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sz w:val="22"/>
        </w:rPr>
        <w:t>Causas justificadas de sustitución:</w:t>
      </w:r>
    </w:p>
    <w:p w:rsidR="005777FB" w:rsidRDefault="005777FB">
      <w:pPr>
        <w:jc w:val="both"/>
        <w:rPr>
          <w:rFonts w:ascii="Arial" w:hAnsi="Arial"/>
          <w:sz w:val="22"/>
        </w:rPr>
      </w:pPr>
    </w:p>
    <w:p w:rsidR="005777FB" w:rsidRDefault="00B8177E">
      <w:pPr>
        <w:numPr>
          <w:ilvl w:val="0"/>
          <w:numId w:val="1"/>
        </w:numPr>
        <w:jc w:val="both"/>
        <w:rPr>
          <w:rFonts w:ascii="Arial" w:hAnsi="Arial"/>
          <w:sz w:val="22"/>
        </w:rPr>
      </w:pPr>
      <w:r>
        <w:rPr>
          <w:rFonts w:ascii="Arial" w:hAnsi="Arial"/>
          <w:sz w:val="22"/>
        </w:rPr>
        <w:t>negativa a responder, sobre todo las preguntas relativas al gasto</w:t>
      </w:r>
    </w:p>
    <w:p w:rsidR="005777FB" w:rsidRDefault="00B8177E">
      <w:pPr>
        <w:numPr>
          <w:ilvl w:val="0"/>
          <w:numId w:val="1"/>
        </w:numPr>
        <w:jc w:val="both"/>
        <w:rPr>
          <w:rFonts w:ascii="Arial" w:hAnsi="Arial"/>
          <w:sz w:val="22"/>
        </w:rPr>
      </w:pPr>
      <w:r>
        <w:rPr>
          <w:rFonts w:ascii="Arial" w:hAnsi="Arial"/>
          <w:sz w:val="22"/>
        </w:rPr>
        <w:t>visitantes que permanecieron en Bolivia por mas de 12 meses y nacionales que permanecieron en el exterior por mas de 12 meses</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i/>
          <w:sz w:val="22"/>
        </w:rPr>
        <w:t>Depuración de la información</w:t>
      </w:r>
      <w:r>
        <w:rPr>
          <w:rFonts w:ascii="Arial" w:hAnsi="Arial"/>
          <w:sz w:val="22"/>
        </w:rPr>
        <w:t>.- Someter a todos los cuestionarios a una serie de controles lógicos que aseguren la calidad de la información. Deben ser sometidos a programas de consistencia con el fin do corregir toda la información errónea, según normas de validación</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i/>
          <w:sz w:val="22"/>
        </w:rPr>
        <w:t>Proceso de validación</w:t>
      </w:r>
      <w:r>
        <w:rPr>
          <w:rFonts w:ascii="Arial" w:hAnsi="Arial"/>
          <w:sz w:val="22"/>
        </w:rPr>
        <w:t>.-  Relaciones lógicas o aritméticas que permiten un alto nivel de la calidad, ya que consiguen:</w:t>
      </w:r>
    </w:p>
    <w:p w:rsidR="005777FB" w:rsidRDefault="005777FB">
      <w:pPr>
        <w:jc w:val="both"/>
        <w:rPr>
          <w:rFonts w:ascii="Arial" w:hAnsi="Arial"/>
          <w:sz w:val="22"/>
        </w:rPr>
      </w:pPr>
    </w:p>
    <w:p w:rsidR="005777FB" w:rsidRDefault="00B8177E">
      <w:pPr>
        <w:numPr>
          <w:ilvl w:val="0"/>
          <w:numId w:val="1"/>
        </w:numPr>
        <w:jc w:val="both"/>
        <w:rPr>
          <w:rFonts w:ascii="Arial" w:hAnsi="Arial"/>
          <w:sz w:val="22"/>
        </w:rPr>
      </w:pPr>
      <w:r>
        <w:rPr>
          <w:rFonts w:ascii="Arial" w:hAnsi="Arial"/>
          <w:sz w:val="22"/>
        </w:rPr>
        <w:t>detectar y corregir errores de grabación/verificación a nivel de cada registro</w:t>
      </w:r>
    </w:p>
    <w:p w:rsidR="005777FB" w:rsidRDefault="00B8177E">
      <w:pPr>
        <w:numPr>
          <w:ilvl w:val="0"/>
          <w:numId w:val="1"/>
        </w:numPr>
        <w:jc w:val="both"/>
        <w:rPr>
          <w:rFonts w:ascii="Arial" w:hAnsi="Arial"/>
          <w:sz w:val="22"/>
        </w:rPr>
      </w:pPr>
      <w:r>
        <w:rPr>
          <w:rFonts w:ascii="Arial" w:hAnsi="Arial"/>
          <w:sz w:val="22"/>
        </w:rPr>
        <w:t>detectar y corregir los errores de complementación de los documentos</w:t>
      </w:r>
    </w:p>
    <w:p w:rsidR="005777FB" w:rsidRDefault="00B8177E">
      <w:pPr>
        <w:numPr>
          <w:ilvl w:val="0"/>
          <w:numId w:val="1"/>
        </w:numPr>
        <w:jc w:val="both"/>
        <w:rPr>
          <w:rFonts w:ascii="Arial" w:hAnsi="Arial"/>
          <w:sz w:val="22"/>
        </w:rPr>
      </w:pPr>
      <w:r>
        <w:rPr>
          <w:rFonts w:ascii="Arial" w:hAnsi="Arial"/>
          <w:sz w:val="22"/>
        </w:rPr>
        <w:t>detectar dudosas contestaciones que necesitan contrastar su veracidad.</w:t>
      </w:r>
    </w:p>
    <w:p w:rsidR="005777FB" w:rsidRDefault="005777FB">
      <w:pPr>
        <w:jc w:val="both"/>
        <w:rPr>
          <w:rFonts w:ascii="Arial" w:hAnsi="Arial"/>
          <w:sz w:val="22"/>
        </w:rPr>
      </w:pPr>
    </w:p>
    <w:p w:rsidR="005777FB" w:rsidRDefault="009A76F2">
      <w:pPr>
        <w:jc w:val="both"/>
        <w:rPr>
          <w:rFonts w:ascii="Arial" w:hAnsi="Arial"/>
          <w:sz w:val="22"/>
        </w:rPr>
      </w:pPr>
      <w:r>
        <w:rPr>
          <w:rFonts w:ascii="Arial" w:hAnsi="Arial"/>
          <w:sz w:val="22"/>
        </w:rPr>
        <w:t xml:space="preserve">Se aplicaron </w:t>
      </w:r>
      <w:r w:rsidR="00B8177E">
        <w:rPr>
          <w:rFonts w:ascii="Arial" w:hAnsi="Arial"/>
          <w:sz w:val="22"/>
        </w:rPr>
        <w:t>dos tipos de validaciones:</w:t>
      </w:r>
    </w:p>
    <w:p w:rsidR="005777FB" w:rsidRDefault="005777FB">
      <w:pPr>
        <w:jc w:val="both"/>
        <w:rPr>
          <w:rFonts w:ascii="Arial" w:hAnsi="Arial"/>
          <w:sz w:val="22"/>
        </w:rPr>
      </w:pPr>
    </w:p>
    <w:p w:rsidR="005777FB" w:rsidRDefault="00B8177E">
      <w:pPr>
        <w:numPr>
          <w:ilvl w:val="0"/>
          <w:numId w:val="2"/>
        </w:numPr>
        <w:jc w:val="both"/>
        <w:rPr>
          <w:rFonts w:ascii="Arial" w:hAnsi="Arial"/>
          <w:sz w:val="22"/>
        </w:rPr>
      </w:pPr>
      <w:r>
        <w:rPr>
          <w:rFonts w:ascii="Arial" w:hAnsi="Arial"/>
          <w:i/>
          <w:sz w:val="22"/>
        </w:rPr>
        <w:t>De acción obligatoria</w:t>
      </w:r>
      <w:r>
        <w:rPr>
          <w:rFonts w:ascii="Arial" w:hAnsi="Arial"/>
          <w:sz w:val="22"/>
        </w:rPr>
        <w:t>: que exig</w:t>
      </w:r>
      <w:r w:rsidR="009A76F2">
        <w:rPr>
          <w:rFonts w:ascii="Arial" w:hAnsi="Arial"/>
          <w:sz w:val="22"/>
        </w:rPr>
        <w:t xml:space="preserve">ió </w:t>
      </w:r>
      <w:r>
        <w:rPr>
          <w:rFonts w:ascii="Arial" w:hAnsi="Arial"/>
          <w:sz w:val="22"/>
        </w:rPr>
        <w:t>la corrección de un dato grabado ante una inconsistencia estructural</w:t>
      </w:r>
    </w:p>
    <w:p w:rsidR="005777FB" w:rsidRDefault="005777FB">
      <w:pPr>
        <w:jc w:val="both"/>
        <w:rPr>
          <w:rFonts w:ascii="Arial" w:hAnsi="Arial"/>
          <w:sz w:val="22"/>
        </w:rPr>
      </w:pPr>
    </w:p>
    <w:p w:rsidR="005777FB" w:rsidRDefault="00B8177E">
      <w:pPr>
        <w:numPr>
          <w:ilvl w:val="0"/>
          <w:numId w:val="2"/>
        </w:numPr>
        <w:jc w:val="both"/>
        <w:rPr>
          <w:rFonts w:ascii="Arial" w:hAnsi="Arial"/>
          <w:sz w:val="22"/>
        </w:rPr>
      </w:pPr>
      <w:r>
        <w:rPr>
          <w:rFonts w:ascii="Arial" w:hAnsi="Arial"/>
          <w:i/>
          <w:sz w:val="22"/>
        </w:rPr>
        <w:t>De acción opcional</w:t>
      </w:r>
      <w:r>
        <w:rPr>
          <w:rFonts w:ascii="Arial" w:hAnsi="Arial"/>
          <w:sz w:val="22"/>
        </w:rPr>
        <w:t>: en la que la corrección, depend</w:t>
      </w:r>
      <w:r w:rsidR="009A76F2">
        <w:rPr>
          <w:rFonts w:ascii="Arial" w:hAnsi="Arial"/>
          <w:sz w:val="22"/>
        </w:rPr>
        <w:t>ió</w:t>
      </w:r>
      <w:r>
        <w:rPr>
          <w:rFonts w:ascii="Arial" w:hAnsi="Arial"/>
          <w:sz w:val="22"/>
        </w:rPr>
        <w:t xml:space="preserve"> del criterio de los técnicos.</w:t>
      </w:r>
    </w:p>
    <w:p w:rsidR="005777FB" w:rsidRDefault="005777FB">
      <w:pPr>
        <w:jc w:val="both"/>
        <w:rPr>
          <w:rFonts w:ascii="Arial" w:hAnsi="Arial"/>
          <w:sz w:val="22"/>
        </w:rPr>
      </w:pPr>
    </w:p>
    <w:p w:rsidR="005777FB" w:rsidRDefault="009A76F2">
      <w:pPr>
        <w:jc w:val="both"/>
        <w:rPr>
          <w:rFonts w:ascii="Arial" w:hAnsi="Arial"/>
          <w:sz w:val="22"/>
        </w:rPr>
      </w:pPr>
      <w:r>
        <w:rPr>
          <w:rFonts w:ascii="Arial" w:hAnsi="Arial"/>
          <w:sz w:val="22"/>
        </w:rPr>
        <w:t>Se realizaron t</w:t>
      </w:r>
      <w:r w:rsidR="00B8177E">
        <w:rPr>
          <w:rFonts w:ascii="Arial" w:hAnsi="Arial"/>
          <w:sz w:val="22"/>
        </w:rPr>
        <w:t>ambién dos niveles de validación:</w:t>
      </w:r>
    </w:p>
    <w:p w:rsidR="005777FB" w:rsidRDefault="005777FB">
      <w:pPr>
        <w:jc w:val="both"/>
        <w:rPr>
          <w:rFonts w:ascii="Arial" w:hAnsi="Arial"/>
          <w:sz w:val="22"/>
        </w:rPr>
      </w:pPr>
    </w:p>
    <w:p w:rsidR="005777FB" w:rsidRDefault="00B8177E">
      <w:pPr>
        <w:numPr>
          <w:ilvl w:val="0"/>
          <w:numId w:val="3"/>
        </w:numPr>
        <w:jc w:val="both"/>
        <w:rPr>
          <w:rFonts w:ascii="Arial" w:hAnsi="Arial"/>
          <w:sz w:val="22"/>
        </w:rPr>
      </w:pPr>
      <w:r>
        <w:rPr>
          <w:rFonts w:ascii="Arial" w:hAnsi="Arial"/>
          <w:sz w:val="22"/>
        </w:rPr>
        <w:t xml:space="preserve"> de cobertura</w:t>
      </w:r>
    </w:p>
    <w:p w:rsidR="005777FB" w:rsidRDefault="005777FB">
      <w:pPr>
        <w:jc w:val="both"/>
        <w:rPr>
          <w:rFonts w:ascii="Arial" w:hAnsi="Arial"/>
          <w:sz w:val="22"/>
        </w:rPr>
      </w:pPr>
    </w:p>
    <w:p w:rsidR="005777FB" w:rsidRDefault="00B8177E">
      <w:pPr>
        <w:numPr>
          <w:ilvl w:val="0"/>
          <w:numId w:val="3"/>
        </w:numPr>
        <w:jc w:val="both"/>
        <w:rPr>
          <w:rFonts w:ascii="Arial" w:hAnsi="Arial"/>
          <w:sz w:val="22"/>
        </w:rPr>
      </w:pPr>
      <w:r>
        <w:rPr>
          <w:rFonts w:ascii="Arial" w:hAnsi="Arial"/>
          <w:sz w:val="22"/>
        </w:rPr>
        <w:t>de flujo, contenido y cruzadas.</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sz w:val="22"/>
        </w:rPr>
        <w:t xml:space="preserve">En i) se </w:t>
      </w:r>
      <w:r w:rsidR="009A76F2">
        <w:rPr>
          <w:rFonts w:ascii="Arial" w:hAnsi="Arial"/>
          <w:sz w:val="22"/>
        </w:rPr>
        <w:t>controlaron</w:t>
      </w:r>
      <w:r>
        <w:rPr>
          <w:rFonts w:ascii="Arial" w:hAnsi="Arial"/>
          <w:sz w:val="22"/>
        </w:rPr>
        <w:t xml:space="preserve"> dos objetivos:</w:t>
      </w:r>
    </w:p>
    <w:p w:rsidR="005777FB" w:rsidRDefault="00B8177E">
      <w:pPr>
        <w:numPr>
          <w:ilvl w:val="0"/>
          <w:numId w:val="1"/>
        </w:numPr>
        <w:jc w:val="both"/>
        <w:rPr>
          <w:rFonts w:ascii="Arial" w:hAnsi="Arial"/>
          <w:sz w:val="22"/>
        </w:rPr>
      </w:pPr>
      <w:r>
        <w:rPr>
          <w:rFonts w:ascii="Arial" w:hAnsi="Arial"/>
          <w:sz w:val="22"/>
        </w:rPr>
        <w:t>que se cumpla el diseño muestral propuesto para la operación</w:t>
      </w:r>
    </w:p>
    <w:p w:rsidR="005777FB" w:rsidRDefault="00B8177E">
      <w:pPr>
        <w:numPr>
          <w:ilvl w:val="0"/>
          <w:numId w:val="1"/>
        </w:numPr>
        <w:jc w:val="both"/>
        <w:rPr>
          <w:rFonts w:ascii="Arial" w:hAnsi="Arial"/>
          <w:sz w:val="22"/>
        </w:rPr>
      </w:pPr>
      <w:r>
        <w:rPr>
          <w:rFonts w:ascii="Arial" w:hAnsi="Arial"/>
          <w:sz w:val="22"/>
        </w:rPr>
        <w:t>que la estructura de la información sea consistente</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sz w:val="22"/>
        </w:rPr>
        <w:t>En las validaciones de flujo, contenido y cruzadas, se recog</w:t>
      </w:r>
      <w:r w:rsidR="009A76F2">
        <w:rPr>
          <w:rFonts w:ascii="Arial" w:hAnsi="Arial"/>
          <w:sz w:val="22"/>
        </w:rPr>
        <w:t xml:space="preserve">ieron </w:t>
      </w:r>
      <w:r>
        <w:rPr>
          <w:rFonts w:ascii="Arial" w:hAnsi="Arial"/>
          <w:sz w:val="22"/>
        </w:rPr>
        <w:t>los controles de valores y rangos de</w:t>
      </w:r>
      <w:r w:rsidR="009A76F2">
        <w:rPr>
          <w:rFonts w:ascii="Arial" w:hAnsi="Arial"/>
          <w:sz w:val="22"/>
        </w:rPr>
        <w:t>l</w:t>
      </w:r>
      <w:r>
        <w:rPr>
          <w:rFonts w:ascii="Arial" w:hAnsi="Arial"/>
          <w:sz w:val="22"/>
        </w:rPr>
        <w:t xml:space="preserve"> cuestionario. Se realiz</w:t>
      </w:r>
      <w:r w:rsidR="009A76F2">
        <w:rPr>
          <w:rFonts w:ascii="Arial" w:hAnsi="Arial"/>
          <w:sz w:val="22"/>
        </w:rPr>
        <w:t>ó</w:t>
      </w:r>
      <w:r>
        <w:rPr>
          <w:rFonts w:ascii="Arial" w:hAnsi="Arial"/>
          <w:sz w:val="22"/>
        </w:rPr>
        <w:t xml:space="preserve"> para cada </w:t>
      </w:r>
      <w:r w:rsidR="009A76F2">
        <w:rPr>
          <w:rFonts w:ascii="Arial" w:hAnsi="Arial"/>
          <w:sz w:val="22"/>
        </w:rPr>
        <w:t>encuesta</w:t>
      </w:r>
      <w:r>
        <w:rPr>
          <w:rFonts w:ascii="Arial" w:hAnsi="Arial"/>
          <w:sz w:val="22"/>
        </w:rPr>
        <w:t>, independientemente de su interrelación con la información Por ejemplo en las preguntas cerradas (como sexo) s</w:t>
      </w:r>
      <w:r w:rsidR="009A76F2">
        <w:rPr>
          <w:rFonts w:ascii="Arial" w:hAnsi="Arial"/>
          <w:sz w:val="22"/>
        </w:rPr>
        <w:t>ó</w:t>
      </w:r>
      <w:r>
        <w:rPr>
          <w:rFonts w:ascii="Arial" w:hAnsi="Arial"/>
          <w:sz w:val="22"/>
        </w:rPr>
        <w:t xml:space="preserve">lo deben haber dos registros. </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sz w:val="22"/>
        </w:rPr>
        <w:t>Una vez realizada la validación de rango, se proced</w:t>
      </w:r>
      <w:r w:rsidR="009A76F2">
        <w:rPr>
          <w:rFonts w:ascii="Arial" w:hAnsi="Arial"/>
          <w:sz w:val="22"/>
        </w:rPr>
        <w:t>ió</w:t>
      </w:r>
      <w:r>
        <w:rPr>
          <w:rFonts w:ascii="Arial" w:hAnsi="Arial"/>
          <w:sz w:val="22"/>
        </w:rPr>
        <w:t xml:space="preserve"> a realizar la validación cruzada, en forma independiente también. Para el control de flujos, </w:t>
      </w:r>
      <w:r w:rsidR="009A76F2">
        <w:rPr>
          <w:rFonts w:ascii="Arial" w:hAnsi="Arial"/>
          <w:sz w:val="22"/>
        </w:rPr>
        <w:t>se</w:t>
      </w:r>
      <w:r>
        <w:rPr>
          <w:rFonts w:ascii="Arial" w:hAnsi="Arial"/>
          <w:sz w:val="22"/>
        </w:rPr>
        <w:t xml:space="preserve"> comprob</w:t>
      </w:r>
      <w:r w:rsidR="009A76F2">
        <w:rPr>
          <w:rFonts w:ascii="Arial" w:hAnsi="Arial"/>
          <w:sz w:val="22"/>
        </w:rPr>
        <w:t>ó</w:t>
      </w:r>
      <w:r>
        <w:rPr>
          <w:rFonts w:ascii="Arial" w:hAnsi="Arial"/>
          <w:sz w:val="22"/>
        </w:rPr>
        <w:t xml:space="preserve"> la consistencia interna, guardando consistencia entre sí. Es la parte más importante de la validación.</w:t>
      </w:r>
    </w:p>
    <w:p w:rsidR="005777FB" w:rsidRDefault="005777FB">
      <w:pPr>
        <w:jc w:val="both"/>
        <w:rPr>
          <w:rFonts w:ascii="Arial" w:hAnsi="Arial"/>
          <w:sz w:val="22"/>
        </w:rPr>
      </w:pPr>
    </w:p>
    <w:p w:rsidR="005777FB" w:rsidRDefault="005777FB">
      <w:pPr>
        <w:jc w:val="both"/>
        <w:rPr>
          <w:rFonts w:ascii="Arial" w:hAnsi="Arial"/>
          <w:sz w:val="22"/>
        </w:rPr>
      </w:pPr>
    </w:p>
    <w:p w:rsidR="005777FB" w:rsidRDefault="005777FB">
      <w:pPr>
        <w:jc w:val="both"/>
        <w:rPr>
          <w:rFonts w:ascii="Arial" w:hAnsi="Arial"/>
          <w:sz w:val="22"/>
        </w:rPr>
      </w:pPr>
    </w:p>
    <w:p w:rsidR="005777FB" w:rsidRDefault="005777FB">
      <w:pPr>
        <w:jc w:val="both"/>
        <w:rPr>
          <w:rFonts w:ascii="Arial" w:hAnsi="Arial"/>
          <w:sz w:val="22"/>
        </w:rPr>
      </w:pPr>
    </w:p>
    <w:p w:rsidR="005777FB" w:rsidRDefault="005777FB">
      <w:pPr>
        <w:jc w:val="both"/>
        <w:rPr>
          <w:rFonts w:ascii="Arial" w:hAnsi="Arial"/>
          <w:sz w:val="22"/>
        </w:rPr>
      </w:pPr>
    </w:p>
    <w:p w:rsidR="005777FB" w:rsidRDefault="005777FB">
      <w:pPr>
        <w:jc w:val="both"/>
        <w:rPr>
          <w:rFonts w:ascii="Arial" w:hAnsi="Arial"/>
          <w:sz w:val="22"/>
        </w:rPr>
      </w:pPr>
    </w:p>
    <w:p w:rsidR="005777FB" w:rsidRDefault="005777FB">
      <w:pPr>
        <w:jc w:val="both"/>
        <w:rPr>
          <w:rFonts w:ascii="Arial" w:hAnsi="Arial"/>
          <w:sz w:val="22"/>
        </w:rPr>
      </w:pPr>
    </w:p>
    <w:p w:rsidR="005777FB" w:rsidRDefault="005777FB">
      <w:pPr>
        <w:jc w:val="both"/>
        <w:rPr>
          <w:rFonts w:ascii="Arial" w:hAnsi="Arial"/>
          <w:sz w:val="22"/>
        </w:rPr>
      </w:pPr>
    </w:p>
    <w:p w:rsidR="005777FB" w:rsidRPr="009A76F2" w:rsidRDefault="00B8177E">
      <w:pPr>
        <w:pStyle w:val="Ttulo1"/>
        <w:rPr>
          <w:b/>
        </w:rPr>
      </w:pPr>
      <w:r w:rsidRPr="009A76F2">
        <w:rPr>
          <w:b/>
        </w:rPr>
        <w:t>PROCEDIMIENTO DE LA IMPUTACION ESTADISTICA</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sz w:val="22"/>
        </w:rPr>
        <w:t>Una vez realizada la fase de depuración se proced</w:t>
      </w:r>
      <w:r w:rsidR="009A76F2">
        <w:rPr>
          <w:rFonts w:ascii="Arial" w:hAnsi="Arial"/>
          <w:sz w:val="22"/>
        </w:rPr>
        <w:t>ió</w:t>
      </w:r>
      <w:r>
        <w:rPr>
          <w:rFonts w:ascii="Arial" w:hAnsi="Arial"/>
          <w:sz w:val="22"/>
        </w:rPr>
        <w:t xml:space="preserve"> a realizar tareas de imputación de la falta de respuesta que no se haya podido corregir en la fase de validación.</w:t>
      </w:r>
    </w:p>
    <w:p w:rsidR="005777FB" w:rsidRDefault="005777FB">
      <w:pPr>
        <w:jc w:val="both"/>
        <w:rPr>
          <w:rFonts w:ascii="Arial" w:hAnsi="Arial"/>
          <w:sz w:val="22"/>
        </w:rPr>
      </w:pPr>
    </w:p>
    <w:p w:rsidR="005777FB" w:rsidRDefault="00B8177E">
      <w:pPr>
        <w:jc w:val="both"/>
        <w:rPr>
          <w:rFonts w:ascii="Arial" w:hAnsi="Arial"/>
          <w:sz w:val="22"/>
        </w:rPr>
      </w:pPr>
      <w:r>
        <w:rPr>
          <w:rFonts w:ascii="Arial" w:hAnsi="Arial"/>
          <w:sz w:val="22"/>
        </w:rPr>
        <w:t>La imputación de un registro sigu</w:t>
      </w:r>
      <w:r w:rsidR="009A76F2">
        <w:rPr>
          <w:rFonts w:ascii="Arial" w:hAnsi="Arial"/>
          <w:sz w:val="22"/>
        </w:rPr>
        <w:t>ió</w:t>
      </w:r>
      <w:r>
        <w:rPr>
          <w:rFonts w:ascii="Arial" w:hAnsi="Arial"/>
          <w:sz w:val="22"/>
        </w:rPr>
        <w:t xml:space="preserve"> los siguientes pasos</w:t>
      </w:r>
      <w:r w:rsidR="009A76F2">
        <w:rPr>
          <w:rFonts w:ascii="Arial" w:hAnsi="Arial"/>
          <w:sz w:val="22"/>
        </w:rPr>
        <w:t>:</w:t>
      </w:r>
    </w:p>
    <w:p w:rsidR="005777FB" w:rsidRDefault="005777FB">
      <w:pPr>
        <w:jc w:val="both"/>
        <w:rPr>
          <w:rFonts w:ascii="Arial" w:hAnsi="Arial"/>
          <w:sz w:val="22"/>
        </w:rPr>
      </w:pPr>
    </w:p>
    <w:p w:rsidR="005777FB" w:rsidRDefault="00B8177E">
      <w:pPr>
        <w:numPr>
          <w:ilvl w:val="0"/>
          <w:numId w:val="4"/>
        </w:numPr>
        <w:tabs>
          <w:tab w:val="clear" w:pos="360"/>
          <w:tab w:val="num" w:pos="405"/>
        </w:tabs>
        <w:ind w:left="405"/>
        <w:jc w:val="both"/>
        <w:rPr>
          <w:rFonts w:ascii="Arial" w:hAnsi="Arial"/>
          <w:sz w:val="22"/>
        </w:rPr>
      </w:pPr>
      <w:r>
        <w:rPr>
          <w:rFonts w:ascii="Arial" w:hAnsi="Arial"/>
          <w:b/>
          <w:sz w:val="22"/>
        </w:rPr>
        <w:t>Fase de validación:</w:t>
      </w:r>
      <w:r>
        <w:rPr>
          <w:rFonts w:ascii="Arial" w:hAnsi="Arial"/>
          <w:sz w:val="22"/>
        </w:rPr>
        <w:t xml:space="preserve"> detección de los campos que incumplen algunas reglas</w:t>
      </w:r>
    </w:p>
    <w:p w:rsidR="005777FB" w:rsidRDefault="005777FB">
      <w:pPr>
        <w:ind w:left="45"/>
        <w:jc w:val="both"/>
        <w:rPr>
          <w:rFonts w:ascii="Arial" w:hAnsi="Arial"/>
          <w:sz w:val="22"/>
        </w:rPr>
      </w:pPr>
    </w:p>
    <w:p w:rsidR="005777FB" w:rsidRDefault="00B8177E">
      <w:pPr>
        <w:numPr>
          <w:ilvl w:val="0"/>
          <w:numId w:val="4"/>
        </w:numPr>
        <w:tabs>
          <w:tab w:val="clear" w:pos="360"/>
          <w:tab w:val="num" w:pos="405"/>
        </w:tabs>
        <w:ind w:left="405"/>
        <w:jc w:val="both"/>
        <w:rPr>
          <w:rFonts w:ascii="Arial" w:hAnsi="Arial"/>
          <w:sz w:val="22"/>
        </w:rPr>
      </w:pPr>
      <w:r>
        <w:rPr>
          <w:rFonts w:ascii="Arial" w:hAnsi="Arial"/>
          <w:b/>
          <w:sz w:val="22"/>
        </w:rPr>
        <w:t xml:space="preserve">Imputación determinística </w:t>
      </w:r>
      <w:r>
        <w:rPr>
          <w:rFonts w:ascii="Arial" w:hAnsi="Arial"/>
          <w:sz w:val="22"/>
        </w:rPr>
        <w:t>si un campo incumple la regla y se han establecido criterios de imputación, se intenta imputar un valor</w:t>
      </w:r>
    </w:p>
    <w:p w:rsidR="009A76F2" w:rsidRPr="009A76F2" w:rsidRDefault="009A76F2" w:rsidP="009A76F2">
      <w:pPr>
        <w:pStyle w:val="Prrafodelista"/>
        <w:rPr>
          <w:rFonts w:ascii="Arial" w:hAnsi="Arial"/>
          <w:b/>
          <w:sz w:val="22"/>
        </w:rPr>
      </w:pPr>
    </w:p>
    <w:p w:rsidR="005777FB" w:rsidRPr="009A76F2" w:rsidRDefault="00B8177E" w:rsidP="009A76F2">
      <w:pPr>
        <w:pStyle w:val="Prrafodelista"/>
        <w:numPr>
          <w:ilvl w:val="0"/>
          <w:numId w:val="4"/>
        </w:numPr>
        <w:jc w:val="both"/>
        <w:rPr>
          <w:rFonts w:ascii="Arial" w:hAnsi="Arial"/>
          <w:sz w:val="22"/>
        </w:rPr>
      </w:pPr>
      <w:r w:rsidRPr="009A76F2">
        <w:rPr>
          <w:rFonts w:ascii="Arial" w:hAnsi="Arial"/>
          <w:b/>
          <w:sz w:val="22"/>
        </w:rPr>
        <w:t xml:space="preserve">Fase de validación, </w:t>
      </w:r>
      <w:r w:rsidRPr="009A76F2">
        <w:rPr>
          <w:rFonts w:ascii="Arial" w:hAnsi="Arial"/>
          <w:sz w:val="22"/>
        </w:rPr>
        <w:t>se somete el código imputado aleatoriamente a las reglas de validación. Si se cumplen se pasa al siguiente campo.</w:t>
      </w:r>
    </w:p>
    <w:p w:rsidR="005777FB" w:rsidRDefault="005777FB">
      <w:pPr>
        <w:jc w:val="both"/>
        <w:rPr>
          <w:rFonts w:ascii="Arial" w:hAnsi="Arial"/>
          <w:sz w:val="22"/>
        </w:rPr>
      </w:pPr>
    </w:p>
    <w:p w:rsidR="005777FB" w:rsidRDefault="00B8177E">
      <w:pPr>
        <w:numPr>
          <w:ilvl w:val="0"/>
          <w:numId w:val="4"/>
        </w:numPr>
        <w:jc w:val="both"/>
        <w:rPr>
          <w:rFonts w:ascii="Arial" w:hAnsi="Arial"/>
          <w:sz w:val="22"/>
        </w:rPr>
      </w:pPr>
      <w:r>
        <w:rPr>
          <w:rFonts w:ascii="Arial" w:hAnsi="Arial"/>
          <w:b/>
          <w:sz w:val="22"/>
        </w:rPr>
        <w:t>Tablas de imputación</w:t>
      </w:r>
      <w:r>
        <w:rPr>
          <w:rFonts w:ascii="Arial" w:hAnsi="Arial"/>
          <w:sz w:val="22"/>
        </w:rPr>
        <w:t>, deben existir tablas cruzadas de imputación fuertemente correlacionadas  Para estos se deben definir número limitado de cortes</w:t>
      </w:r>
    </w:p>
    <w:p w:rsidR="005777FB" w:rsidRDefault="005777FB">
      <w:pPr>
        <w:jc w:val="both"/>
        <w:rPr>
          <w:rFonts w:ascii="Arial" w:hAnsi="Arial"/>
          <w:sz w:val="22"/>
        </w:rPr>
      </w:pPr>
    </w:p>
    <w:p w:rsidR="00647D14" w:rsidRPr="00647D14" w:rsidRDefault="00DB068F" w:rsidP="00647D14">
      <w:pPr>
        <w:jc w:val="both"/>
        <w:rPr>
          <w:rFonts w:ascii="Arial" w:hAnsi="Arial"/>
          <w:b/>
          <w:sz w:val="22"/>
          <w:u w:val="single"/>
        </w:rPr>
      </w:pPr>
      <w:r>
        <w:rPr>
          <w:rFonts w:ascii="Arial" w:hAnsi="Arial"/>
          <w:b/>
          <w:sz w:val="22"/>
          <w:u w:val="single"/>
        </w:rPr>
        <w:t xml:space="preserve">METODOLOGIA PARA LA </w:t>
      </w:r>
      <w:r w:rsidR="00647D14" w:rsidRPr="00647D14">
        <w:rPr>
          <w:rFonts w:ascii="Arial" w:hAnsi="Arial"/>
          <w:b/>
          <w:sz w:val="22"/>
          <w:u w:val="single"/>
        </w:rPr>
        <w:t>ESTIMACION DE LOS INGRESOS Y GASTOS POR TURISMO INTERNACIONAL</w:t>
      </w:r>
    </w:p>
    <w:p w:rsidR="005777FB" w:rsidRDefault="005777FB">
      <w:pPr>
        <w:jc w:val="both"/>
        <w:rPr>
          <w:rFonts w:ascii="Arial" w:hAnsi="Arial"/>
          <w:sz w:val="22"/>
        </w:rPr>
      </w:pPr>
    </w:p>
    <w:p w:rsidR="005777FB" w:rsidRDefault="00647D14">
      <w:pPr>
        <w:jc w:val="both"/>
        <w:rPr>
          <w:rFonts w:ascii="Arial" w:hAnsi="Arial"/>
          <w:sz w:val="22"/>
        </w:rPr>
      </w:pPr>
      <w:r>
        <w:rPr>
          <w:rFonts w:ascii="Arial" w:hAnsi="Arial"/>
          <w:sz w:val="22"/>
        </w:rPr>
        <w:t xml:space="preserve">La propuesta metodológica </w:t>
      </w:r>
      <w:r w:rsidR="00DB068F">
        <w:rPr>
          <w:rFonts w:ascii="Arial" w:hAnsi="Arial"/>
          <w:sz w:val="22"/>
        </w:rPr>
        <w:t>c</w:t>
      </w:r>
      <w:r>
        <w:rPr>
          <w:rFonts w:ascii="Arial" w:hAnsi="Arial"/>
          <w:sz w:val="22"/>
        </w:rPr>
        <w:t>onsidera las recomendaciones generales sobre turismo, así como la</w:t>
      </w:r>
      <w:r w:rsidR="003621D6">
        <w:rPr>
          <w:rFonts w:ascii="Arial" w:hAnsi="Arial"/>
          <w:sz w:val="22"/>
        </w:rPr>
        <w:t>s</w:t>
      </w:r>
      <w:r>
        <w:rPr>
          <w:rFonts w:ascii="Arial" w:hAnsi="Arial"/>
          <w:sz w:val="22"/>
        </w:rPr>
        <w:t xml:space="preserve"> características propias de la disponibilidad de datos</w:t>
      </w:r>
      <w:r w:rsidR="003621D6">
        <w:rPr>
          <w:rFonts w:ascii="Arial" w:hAnsi="Arial"/>
          <w:sz w:val="22"/>
        </w:rPr>
        <w:t>.</w:t>
      </w:r>
    </w:p>
    <w:p w:rsidR="003621D6" w:rsidRDefault="003621D6">
      <w:pPr>
        <w:jc w:val="both"/>
        <w:rPr>
          <w:rFonts w:ascii="Arial" w:hAnsi="Arial"/>
          <w:sz w:val="22"/>
        </w:rPr>
      </w:pPr>
    </w:p>
    <w:p w:rsidR="003621D6" w:rsidRDefault="008143B2">
      <w:pPr>
        <w:jc w:val="both"/>
        <w:rPr>
          <w:rFonts w:ascii="Arial" w:hAnsi="Arial"/>
          <w:sz w:val="22"/>
        </w:rPr>
      </w:pPr>
      <w:r>
        <w:rPr>
          <w:rFonts w:ascii="Arial" w:hAnsi="Arial"/>
          <w:sz w:val="22"/>
        </w:rPr>
        <w:t>La estimación de ingresos y gastos por turismo internacional son definidos en términos de la cuenta viajes de la balanza de pagos donde se estiman los créditos y débitos por turismo atribuibles a los viajes internacionales (sin incluir los pasajes del transporte internacional).</w:t>
      </w:r>
    </w:p>
    <w:p w:rsidR="008143B2" w:rsidRDefault="008143B2">
      <w:pPr>
        <w:jc w:val="both"/>
        <w:rPr>
          <w:rFonts w:ascii="Arial" w:hAnsi="Arial"/>
          <w:sz w:val="22"/>
        </w:rPr>
      </w:pPr>
    </w:p>
    <w:p w:rsidR="008143B2" w:rsidRDefault="008143B2">
      <w:pPr>
        <w:jc w:val="both"/>
        <w:rPr>
          <w:rFonts w:ascii="Arial" w:hAnsi="Arial"/>
          <w:sz w:val="22"/>
        </w:rPr>
      </w:pPr>
      <w:r>
        <w:rPr>
          <w:rFonts w:ascii="Arial" w:hAnsi="Arial"/>
          <w:sz w:val="22"/>
        </w:rPr>
        <w:t>El universo de la encuesta fueron los viajeros residentes que retornan al país (turismo emisor) y los viajeros no residentes que salen del país (turismo receptor).</w:t>
      </w:r>
    </w:p>
    <w:p w:rsidR="00DB068F" w:rsidRDefault="00DB068F">
      <w:pPr>
        <w:jc w:val="both"/>
        <w:rPr>
          <w:rFonts w:ascii="Arial" w:hAnsi="Arial"/>
          <w:sz w:val="22"/>
        </w:rPr>
      </w:pPr>
    </w:p>
    <w:p w:rsidR="008143B2" w:rsidRDefault="008143B2">
      <w:pPr>
        <w:jc w:val="both"/>
        <w:rPr>
          <w:rFonts w:ascii="Arial" w:hAnsi="Arial"/>
          <w:sz w:val="22"/>
        </w:rPr>
      </w:pPr>
      <w:r>
        <w:rPr>
          <w:rFonts w:ascii="Arial" w:hAnsi="Arial"/>
          <w:sz w:val="22"/>
        </w:rPr>
        <w:t>La base de datos fue creada en forma independiente para el turismo emisor como para el receptor. Estas bases de datos no ofrecen información directa sobre el gasto en los diferentes cuadros de salida. Esta variable se consider</w:t>
      </w:r>
      <w:r w:rsidR="000863B0">
        <w:rPr>
          <w:rFonts w:ascii="Arial" w:hAnsi="Arial"/>
          <w:sz w:val="22"/>
        </w:rPr>
        <w:t xml:space="preserve">ó </w:t>
      </w:r>
      <w:r>
        <w:rPr>
          <w:rFonts w:ascii="Arial" w:hAnsi="Arial"/>
          <w:sz w:val="22"/>
        </w:rPr>
        <w:t xml:space="preserve">desde diferentes ángulos: </w:t>
      </w:r>
      <w:r w:rsidR="000863B0">
        <w:rPr>
          <w:rFonts w:ascii="Arial" w:hAnsi="Arial"/>
          <w:sz w:val="22"/>
        </w:rPr>
        <w:t>i</w:t>
      </w:r>
      <w:r>
        <w:rPr>
          <w:rFonts w:ascii="Arial" w:hAnsi="Arial"/>
          <w:sz w:val="22"/>
        </w:rPr>
        <w:t>) viajes individuales, viajes en familia o grupo; ii) viajes independientes, viajes organizados; iii) viajes en un solo destino o multidestino. Estas variables no permiten homogenizar la variable dentro de la base sin antes realizar diferentes cálculos que se describen.</w:t>
      </w:r>
    </w:p>
    <w:p w:rsidR="008143B2" w:rsidRDefault="008143B2">
      <w:pPr>
        <w:jc w:val="both"/>
        <w:rPr>
          <w:rFonts w:ascii="Arial" w:hAnsi="Arial"/>
          <w:sz w:val="22"/>
        </w:rPr>
      </w:pPr>
    </w:p>
    <w:p w:rsidR="000863B0" w:rsidRDefault="000863B0">
      <w:pPr>
        <w:jc w:val="both"/>
        <w:rPr>
          <w:rFonts w:ascii="Arial" w:hAnsi="Arial"/>
          <w:b/>
          <w:sz w:val="22"/>
          <w:u w:val="single"/>
        </w:rPr>
      </w:pPr>
    </w:p>
    <w:p w:rsidR="000863B0" w:rsidRDefault="000863B0">
      <w:pPr>
        <w:jc w:val="both"/>
        <w:rPr>
          <w:rFonts w:ascii="Arial" w:hAnsi="Arial"/>
          <w:b/>
          <w:sz w:val="22"/>
          <w:u w:val="single"/>
        </w:rPr>
      </w:pPr>
    </w:p>
    <w:p w:rsidR="000863B0" w:rsidRDefault="000863B0">
      <w:pPr>
        <w:jc w:val="both"/>
        <w:rPr>
          <w:rFonts w:ascii="Arial" w:hAnsi="Arial"/>
          <w:b/>
          <w:sz w:val="22"/>
          <w:u w:val="single"/>
        </w:rPr>
      </w:pPr>
    </w:p>
    <w:p w:rsidR="000863B0" w:rsidRDefault="000863B0">
      <w:pPr>
        <w:jc w:val="both"/>
        <w:rPr>
          <w:rFonts w:ascii="Arial" w:hAnsi="Arial"/>
          <w:b/>
          <w:sz w:val="22"/>
          <w:u w:val="single"/>
        </w:rPr>
      </w:pPr>
    </w:p>
    <w:p w:rsidR="000863B0" w:rsidRDefault="000863B0">
      <w:pPr>
        <w:jc w:val="both"/>
        <w:rPr>
          <w:rFonts w:ascii="Arial" w:hAnsi="Arial"/>
          <w:b/>
          <w:sz w:val="22"/>
          <w:u w:val="single"/>
        </w:rPr>
      </w:pPr>
    </w:p>
    <w:p w:rsidR="000863B0" w:rsidRDefault="000863B0">
      <w:pPr>
        <w:jc w:val="both"/>
        <w:rPr>
          <w:rFonts w:ascii="Arial" w:hAnsi="Arial"/>
          <w:b/>
          <w:sz w:val="22"/>
          <w:u w:val="single"/>
        </w:rPr>
      </w:pPr>
    </w:p>
    <w:p w:rsidR="000863B0" w:rsidRDefault="000863B0">
      <w:pPr>
        <w:jc w:val="both"/>
        <w:rPr>
          <w:rFonts w:ascii="Arial" w:hAnsi="Arial"/>
          <w:b/>
          <w:sz w:val="22"/>
          <w:u w:val="single"/>
        </w:rPr>
      </w:pPr>
    </w:p>
    <w:p w:rsidR="008143B2" w:rsidRDefault="008143B2">
      <w:pPr>
        <w:jc w:val="both"/>
        <w:rPr>
          <w:rFonts w:ascii="Arial" w:hAnsi="Arial"/>
          <w:b/>
          <w:sz w:val="22"/>
          <w:u w:val="single"/>
        </w:rPr>
      </w:pPr>
      <w:r w:rsidRPr="008143B2">
        <w:rPr>
          <w:rFonts w:ascii="Arial" w:hAnsi="Arial"/>
          <w:b/>
          <w:sz w:val="22"/>
          <w:u w:val="single"/>
        </w:rPr>
        <w:lastRenderedPageBreak/>
        <w:t>TURISMO RECEPTOR</w:t>
      </w:r>
      <w:r w:rsidR="00EC6EEB">
        <w:rPr>
          <w:rFonts w:ascii="Arial" w:hAnsi="Arial"/>
          <w:b/>
          <w:sz w:val="22"/>
          <w:u w:val="single"/>
        </w:rPr>
        <w:t xml:space="preserve"> </w:t>
      </w:r>
    </w:p>
    <w:p w:rsidR="003560C3" w:rsidRDefault="001D1BD8">
      <w:pPr>
        <w:jc w:val="both"/>
        <w:rPr>
          <w:rFonts w:ascii="Arial" w:hAnsi="Arial"/>
          <w:sz w:val="22"/>
        </w:rPr>
      </w:pPr>
      <w:r>
        <w:rPr>
          <w:rFonts w:ascii="Arial" w:hAnsi="Arial"/>
          <w:sz w:val="22"/>
        </w:rPr>
        <w:t>La definición de la metodología para la estimación del gasto comprend</w:t>
      </w:r>
      <w:r w:rsidR="000863B0">
        <w:rPr>
          <w:rFonts w:ascii="Arial" w:hAnsi="Arial"/>
          <w:sz w:val="22"/>
        </w:rPr>
        <w:t>ió</w:t>
      </w:r>
      <w:r>
        <w:rPr>
          <w:rFonts w:ascii="Arial" w:hAnsi="Arial"/>
          <w:sz w:val="22"/>
        </w:rPr>
        <w:t xml:space="preserve"> dos momentos de análisis, </w:t>
      </w:r>
      <w:r w:rsidR="000863B0">
        <w:rPr>
          <w:rFonts w:ascii="Arial" w:hAnsi="Arial"/>
          <w:sz w:val="22"/>
        </w:rPr>
        <w:t xml:space="preserve">i) </w:t>
      </w:r>
      <w:r>
        <w:rPr>
          <w:rFonts w:ascii="Arial" w:hAnsi="Arial"/>
          <w:sz w:val="22"/>
        </w:rPr>
        <w:t xml:space="preserve">uno referido al análisis del gasto al interior de la base de datos, y </w:t>
      </w:r>
      <w:r w:rsidR="000863B0">
        <w:rPr>
          <w:rFonts w:ascii="Arial" w:hAnsi="Arial"/>
          <w:sz w:val="22"/>
        </w:rPr>
        <w:t xml:space="preserve">ii) </w:t>
      </w:r>
      <w:r>
        <w:rPr>
          <w:rFonts w:ascii="Arial" w:hAnsi="Arial"/>
          <w:sz w:val="22"/>
        </w:rPr>
        <w:t>la otra referida a la estimación ponderada del gasto</w:t>
      </w:r>
      <w:r w:rsidR="000863B0">
        <w:rPr>
          <w:rFonts w:ascii="Arial" w:hAnsi="Arial"/>
          <w:sz w:val="22"/>
        </w:rPr>
        <w:t>.</w:t>
      </w:r>
    </w:p>
    <w:p w:rsidR="001D1BD8" w:rsidRDefault="001D1BD8">
      <w:pPr>
        <w:jc w:val="both"/>
        <w:rPr>
          <w:rFonts w:ascii="Arial" w:hAnsi="Arial"/>
          <w:sz w:val="22"/>
        </w:rPr>
      </w:pPr>
    </w:p>
    <w:p w:rsidR="001D1BD8" w:rsidRDefault="001D1BD8">
      <w:pPr>
        <w:jc w:val="both"/>
        <w:rPr>
          <w:rFonts w:ascii="Arial" w:hAnsi="Arial"/>
          <w:b/>
          <w:sz w:val="22"/>
          <w:u w:val="single"/>
        </w:rPr>
      </w:pPr>
      <w:r>
        <w:rPr>
          <w:rFonts w:ascii="Arial" w:hAnsi="Arial"/>
          <w:b/>
          <w:sz w:val="22"/>
          <w:u w:val="single"/>
        </w:rPr>
        <w:t>Homogenización del gasto en la base de datos de la encuesta</w:t>
      </w:r>
    </w:p>
    <w:p w:rsidR="000863B0" w:rsidRDefault="000863B0">
      <w:pPr>
        <w:jc w:val="both"/>
        <w:rPr>
          <w:rFonts w:ascii="Arial" w:hAnsi="Arial"/>
          <w:sz w:val="22"/>
        </w:rPr>
      </w:pPr>
    </w:p>
    <w:p w:rsidR="001D1BD8" w:rsidRDefault="001D1BD8">
      <w:pPr>
        <w:jc w:val="both"/>
        <w:rPr>
          <w:rFonts w:ascii="Arial" w:hAnsi="Arial"/>
          <w:sz w:val="22"/>
        </w:rPr>
      </w:pPr>
      <w:r>
        <w:rPr>
          <w:rFonts w:ascii="Arial" w:hAnsi="Arial"/>
          <w:sz w:val="22"/>
        </w:rPr>
        <w:t>Consist</w:t>
      </w:r>
      <w:r w:rsidR="000863B0">
        <w:rPr>
          <w:rFonts w:ascii="Arial" w:hAnsi="Arial"/>
          <w:sz w:val="22"/>
        </w:rPr>
        <w:t xml:space="preserve">ió </w:t>
      </w:r>
      <w:r>
        <w:rPr>
          <w:rFonts w:ascii="Arial" w:hAnsi="Arial"/>
          <w:sz w:val="22"/>
        </w:rPr>
        <w:t>básicamente en:</w:t>
      </w:r>
    </w:p>
    <w:p w:rsidR="001D1BD8" w:rsidRDefault="001D1BD8">
      <w:pPr>
        <w:jc w:val="both"/>
        <w:rPr>
          <w:rFonts w:ascii="Arial" w:hAnsi="Arial"/>
          <w:sz w:val="22"/>
        </w:rPr>
      </w:pPr>
    </w:p>
    <w:p w:rsidR="001D1BD8" w:rsidRDefault="001D1BD8" w:rsidP="001D1BD8">
      <w:pPr>
        <w:pStyle w:val="Prrafodelista"/>
        <w:numPr>
          <w:ilvl w:val="0"/>
          <w:numId w:val="6"/>
        </w:numPr>
        <w:jc w:val="both"/>
        <w:rPr>
          <w:rFonts w:ascii="Arial" w:hAnsi="Arial"/>
          <w:sz w:val="22"/>
        </w:rPr>
      </w:pPr>
      <w:r>
        <w:rPr>
          <w:rFonts w:ascii="Arial" w:hAnsi="Arial"/>
          <w:sz w:val="22"/>
        </w:rPr>
        <w:t>Transformar los gastos en familia o grupo en gastos individuales. En esta etapa, los gastos declarados en familia o grupo se dividirán entre el número de integrantes de los mismos para convertirse en gastos individuales, sólo en los casos en el que responde la encuesta, indica que el gasto es en grupo o familiar. Si el que responde la encuesta contesta en forma individual, se lo deja tal cual, no se multiplica por el número de integrantes del grupo o familia.</w:t>
      </w:r>
    </w:p>
    <w:p w:rsidR="004B74CD" w:rsidRPr="005A0D6D" w:rsidRDefault="001D1BD8" w:rsidP="004B74CD">
      <w:pPr>
        <w:pStyle w:val="Prrafodelista"/>
        <w:numPr>
          <w:ilvl w:val="0"/>
          <w:numId w:val="6"/>
        </w:numPr>
        <w:jc w:val="both"/>
        <w:rPr>
          <w:rFonts w:ascii="Arial" w:hAnsi="Arial"/>
          <w:sz w:val="22"/>
        </w:rPr>
      </w:pPr>
      <w:r w:rsidRPr="005A0D6D">
        <w:rPr>
          <w:rFonts w:ascii="Arial" w:hAnsi="Arial"/>
          <w:sz w:val="22"/>
        </w:rPr>
        <w:t>Se deben excluir los gastos de pasajes internacionales de los paquetes turísticos</w:t>
      </w:r>
      <w:r w:rsidR="004B74CD" w:rsidRPr="005A0D6D">
        <w:rPr>
          <w:rFonts w:ascii="Arial" w:hAnsi="Arial"/>
          <w:sz w:val="22"/>
        </w:rPr>
        <w:t>. Se debe tener en cuenta que la investigación corresponde solamente a los gastos del viaje sin considerar el costo de los pasajes internacionales, sobre todo de los viajeros que vinieron por turismo organizado.</w:t>
      </w:r>
    </w:p>
    <w:p w:rsidR="001D1BD8" w:rsidRDefault="004B74CD" w:rsidP="001D1BD8">
      <w:pPr>
        <w:pStyle w:val="Prrafodelista"/>
        <w:numPr>
          <w:ilvl w:val="0"/>
          <w:numId w:val="6"/>
        </w:numPr>
        <w:jc w:val="both"/>
        <w:rPr>
          <w:rFonts w:ascii="Arial" w:hAnsi="Arial"/>
          <w:sz w:val="22"/>
        </w:rPr>
      </w:pPr>
      <w:r>
        <w:rPr>
          <w:rFonts w:ascii="Arial" w:hAnsi="Arial"/>
          <w:sz w:val="22"/>
        </w:rPr>
        <w:t xml:space="preserve">Armonizar los gastos del turismo organizado o de los paquetes turísticos, </w:t>
      </w:r>
      <w:r w:rsidR="001D1BD8">
        <w:rPr>
          <w:rFonts w:ascii="Arial" w:hAnsi="Arial"/>
          <w:sz w:val="22"/>
        </w:rPr>
        <w:t>de viajes de destino único en Bolivia</w:t>
      </w:r>
      <w:r w:rsidR="007B4883">
        <w:rPr>
          <w:rFonts w:ascii="Arial" w:hAnsi="Arial"/>
          <w:sz w:val="22"/>
        </w:rPr>
        <w:t xml:space="preserve"> con </w:t>
      </w:r>
      <w:r w:rsidR="001D1BD8">
        <w:rPr>
          <w:rFonts w:ascii="Arial" w:hAnsi="Arial"/>
          <w:sz w:val="22"/>
        </w:rPr>
        <w:t xml:space="preserve">los viajes multidestino a la región. Esto tiene que ver con los viajeros que vienen por turismo organizado. Si la declaración que </w:t>
      </w:r>
      <w:r w:rsidR="007B4883">
        <w:rPr>
          <w:rFonts w:ascii="Arial" w:hAnsi="Arial"/>
          <w:sz w:val="22"/>
        </w:rPr>
        <w:t>indica el viajero corresponde a</w:t>
      </w:r>
      <w:r>
        <w:rPr>
          <w:rFonts w:ascii="Arial" w:hAnsi="Arial"/>
          <w:sz w:val="22"/>
        </w:rPr>
        <w:t>l paquete de todo el viaje multidestino y no se puede identificar el monto atribuible sólo a Bolivia, en base al análisis de los países visitados se debe proceder a imputar valores medios según estadía declarada y procedencia de los visitantes.</w:t>
      </w:r>
    </w:p>
    <w:p w:rsidR="007B4883" w:rsidRDefault="007B4883" w:rsidP="001D1BD8">
      <w:pPr>
        <w:pStyle w:val="Prrafodelista"/>
        <w:numPr>
          <w:ilvl w:val="0"/>
          <w:numId w:val="6"/>
        </w:numPr>
        <w:jc w:val="both"/>
        <w:rPr>
          <w:rFonts w:ascii="Arial" w:hAnsi="Arial"/>
          <w:sz w:val="22"/>
        </w:rPr>
      </w:pPr>
      <w:r>
        <w:rPr>
          <w:rFonts w:ascii="Arial" w:hAnsi="Arial"/>
          <w:sz w:val="22"/>
        </w:rPr>
        <w:t>Homogenizar los gastos del turismo independiente con los gastos del turismo organizado. Se deben transformar los gastos de paquete turístico y gastos adicionales declarados por los viajeros en turismo en un solo gasto (suma de los dos) con el fin de compatibilizar el gasto declarado por el turismo independiente.</w:t>
      </w:r>
    </w:p>
    <w:p w:rsidR="007B4883" w:rsidRDefault="007B4883" w:rsidP="001D1BD8">
      <w:pPr>
        <w:pStyle w:val="Prrafodelista"/>
        <w:numPr>
          <w:ilvl w:val="0"/>
          <w:numId w:val="6"/>
        </w:numPr>
        <w:jc w:val="both"/>
        <w:rPr>
          <w:rFonts w:ascii="Arial" w:hAnsi="Arial"/>
          <w:sz w:val="22"/>
        </w:rPr>
      </w:pPr>
      <w:r>
        <w:rPr>
          <w:rFonts w:ascii="Arial" w:hAnsi="Arial"/>
          <w:sz w:val="22"/>
        </w:rPr>
        <w:t>Crear una variable del gasto personal realizado en el viaje. Con las consideraciones realizadas de 1 a 4, se tendrá una variable homogenizada para el gasto declarado en Bolivia.</w:t>
      </w:r>
    </w:p>
    <w:p w:rsidR="007B4883" w:rsidRDefault="007B4883" w:rsidP="007B4883">
      <w:pPr>
        <w:ind w:left="360"/>
        <w:jc w:val="both"/>
        <w:rPr>
          <w:rFonts w:ascii="Arial" w:hAnsi="Arial"/>
          <w:sz w:val="22"/>
        </w:rPr>
      </w:pPr>
    </w:p>
    <w:p w:rsidR="007B4883" w:rsidRDefault="007B4883" w:rsidP="007B4883">
      <w:pPr>
        <w:ind w:left="360"/>
        <w:jc w:val="both"/>
        <w:rPr>
          <w:rFonts w:ascii="Arial" w:hAnsi="Arial"/>
          <w:sz w:val="22"/>
        </w:rPr>
      </w:pPr>
      <w:r>
        <w:rPr>
          <w:rFonts w:ascii="Arial" w:hAnsi="Arial"/>
          <w:sz w:val="22"/>
        </w:rPr>
        <w:t>La homogenización de la variable gasto se basa en criterio de distribución de la muestra con desviaciones estándar aceptables para cada una de las variables importantes como países de residencia, motivo de viaje, y lugares visitados entre otros.</w:t>
      </w:r>
    </w:p>
    <w:p w:rsidR="007B4883" w:rsidRDefault="007B4883" w:rsidP="007B4883">
      <w:pPr>
        <w:ind w:left="360"/>
        <w:jc w:val="both"/>
        <w:rPr>
          <w:rFonts w:ascii="Arial" w:hAnsi="Arial"/>
          <w:sz w:val="22"/>
        </w:rPr>
      </w:pPr>
    </w:p>
    <w:p w:rsidR="007B4883" w:rsidRDefault="007B4883" w:rsidP="007B4883">
      <w:pPr>
        <w:ind w:left="360"/>
        <w:jc w:val="both"/>
        <w:rPr>
          <w:rFonts w:ascii="Arial" w:hAnsi="Arial"/>
          <w:sz w:val="22"/>
        </w:rPr>
      </w:pPr>
      <w:r>
        <w:rPr>
          <w:rFonts w:ascii="Arial" w:hAnsi="Arial"/>
          <w:sz w:val="22"/>
        </w:rPr>
        <w:t>Se deben crear dos variables: “Gasto personal realizado en el viaje” y “gasto medio diario” que servirán de base para la fase de estimación del gasto que considera además otro tipo de características que no se consideran en la encuesta como la estratificación por país de residencia o destino de los viajeros.</w:t>
      </w:r>
    </w:p>
    <w:p w:rsidR="00EC6EEB" w:rsidRDefault="00EC6EEB" w:rsidP="007B4883">
      <w:pPr>
        <w:ind w:left="360"/>
        <w:jc w:val="both"/>
        <w:rPr>
          <w:rFonts w:ascii="Arial" w:hAnsi="Arial"/>
          <w:sz w:val="22"/>
        </w:rPr>
      </w:pPr>
    </w:p>
    <w:p w:rsidR="000863B0" w:rsidRDefault="00EC6EEB" w:rsidP="007B4883">
      <w:pPr>
        <w:ind w:left="360"/>
        <w:jc w:val="both"/>
        <w:rPr>
          <w:rFonts w:ascii="Arial" w:hAnsi="Arial"/>
          <w:b/>
          <w:sz w:val="22"/>
          <w:u w:val="single"/>
        </w:rPr>
      </w:pPr>
      <w:r>
        <w:rPr>
          <w:rFonts w:ascii="Arial" w:hAnsi="Arial"/>
          <w:b/>
          <w:sz w:val="22"/>
          <w:u w:val="single"/>
        </w:rPr>
        <w:t>E</w:t>
      </w:r>
      <w:r w:rsidR="000863B0">
        <w:rPr>
          <w:rFonts w:ascii="Arial" w:hAnsi="Arial"/>
          <w:b/>
          <w:sz w:val="22"/>
          <w:u w:val="single"/>
        </w:rPr>
        <w:t>STIMACION DEL GASTO DEL TURISMO EMISOR Y RECEPTOR</w:t>
      </w:r>
    </w:p>
    <w:p w:rsidR="000863B0" w:rsidRDefault="000863B0" w:rsidP="007B4883">
      <w:pPr>
        <w:ind w:left="360"/>
        <w:jc w:val="both"/>
        <w:rPr>
          <w:rFonts w:ascii="Arial" w:hAnsi="Arial"/>
          <w:b/>
          <w:sz w:val="22"/>
          <w:u w:val="single"/>
        </w:rPr>
      </w:pPr>
    </w:p>
    <w:p w:rsidR="00EC6EEB" w:rsidRDefault="00B107B7" w:rsidP="007B4883">
      <w:pPr>
        <w:ind w:left="360"/>
        <w:jc w:val="both"/>
        <w:rPr>
          <w:rFonts w:ascii="Arial" w:hAnsi="Arial"/>
          <w:sz w:val="22"/>
        </w:rPr>
      </w:pPr>
      <w:r>
        <w:rPr>
          <w:rFonts w:ascii="Arial" w:hAnsi="Arial"/>
          <w:sz w:val="22"/>
        </w:rPr>
        <w:t>De acuerdo al diseño del muestreo, no se consideraron algunos parámetros importantes como ser: i) motivo del viaje, ii) estructura de país de residencia de los visitantes y iii) el medio de transporte, factores que se obtienen por otros medios.</w:t>
      </w:r>
    </w:p>
    <w:p w:rsidR="00B107B7" w:rsidRDefault="00B107B7" w:rsidP="007B4883">
      <w:pPr>
        <w:ind w:left="360"/>
        <w:jc w:val="both"/>
        <w:rPr>
          <w:rFonts w:ascii="Arial" w:hAnsi="Arial"/>
          <w:sz w:val="22"/>
        </w:rPr>
      </w:pPr>
    </w:p>
    <w:p w:rsidR="00B107B7" w:rsidRDefault="00B107B7" w:rsidP="007B4883">
      <w:pPr>
        <w:ind w:left="360"/>
        <w:jc w:val="both"/>
        <w:rPr>
          <w:rFonts w:ascii="Arial" w:hAnsi="Arial"/>
          <w:sz w:val="22"/>
        </w:rPr>
      </w:pPr>
      <w:r>
        <w:rPr>
          <w:rFonts w:ascii="Arial" w:hAnsi="Arial"/>
          <w:sz w:val="22"/>
        </w:rPr>
        <w:lastRenderedPageBreak/>
        <w:t>En este sentido, se deben analizar algunos parámetros que influyen en el comportamiento del gasto y estadía en los desplazamientos de los viajeros:</w:t>
      </w:r>
    </w:p>
    <w:p w:rsidR="00B107B7" w:rsidRDefault="00B107B7" w:rsidP="007B4883">
      <w:pPr>
        <w:ind w:left="360"/>
        <w:jc w:val="both"/>
        <w:rPr>
          <w:rFonts w:ascii="Arial" w:hAnsi="Arial"/>
          <w:sz w:val="22"/>
        </w:rPr>
      </w:pPr>
    </w:p>
    <w:p w:rsidR="00B107B7" w:rsidRDefault="00B107B7" w:rsidP="00B107B7">
      <w:pPr>
        <w:pStyle w:val="Prrafodelista"/>
        <w:numPr>
          <w:ilvl w:val="0"/>
          <w:numId w:val="7"/>
        </w:numPr>
        <w:jc w:val="both"/>
        <w:rPr>
          <w:rFonts w:ascii="Arial" w:hAnsi="Arial"/>
          <w:sz w:val="22"/>
        </w:rPr>
      </w:pPr>
      <w:r w:rsidRPr="000863B0">
        <w:rPr>
          <w:rFonts w:ascii="Arial" w:hAnsi="Arial"/>
          <w:b/>
          <w:sz w:val="22"/>
        </w:rPr>
        <w:t>Motivo del viaje.-</w:t>
      </w:r>
      <w:r>
        <w:rPr>
          <w:rFonts w:ascii="Arial" w:hAnsi="Arial"/>
          <w:sz w:val="22"/>
        </w:rPr>
        <w:t xml:space="preserve"> Es un factor que influye en el gasto y en la estadía porque se ha visto en anteriores encuestas por ejemplo, que los viajeros por negocios tienen pequeñas estadías pero mayores gastos diarios; o los viajeros por motivo recreación o vacaciones que tienen estadías más largas pero gastos relativamente moderados. </w:t>
      </w:r>
    </w:p>
    <w:p w:rsidR="00B107B7" w:rsidRDefault="00B107B7" w:rsidP="00B107B7">
      <w:pPr>
        <w:pStyle w:val="Prrafodelista"/>
        <w:numPr>
          <w:ilvl w:val="0"/>
          <w:numId w:val="7"/>
        </w:numPr>
        <w:jc w:val="both"/>
        <w:rPr>
          <w:rFonts w:ascii="Arial" w:hAnsi="Arial"/>
          <w:sz w:val="22"/>
        </w:rPr>
      </w:pPr>
      <w:r w:rsidRPr="000863B0">
        <w:rPr>
          <w:rFonts w:ascii="Arial" w:hAnsi="Arial"/>
          <w:b/>
          <w:sz w:val="22"/>
        </w:rPr>
        <w:t>Medio de transporte utilizado para los viajes.-</w:t>
      </w:r>
      <w:r>
        <w:rPr>
          <w:rFonts w:ascii="Arial" w:hAnsi="Arial"/>
          <w:sz w:val="22"/>
        </w:rPr>
        <w:t xml:space="preserve"> Se ha constatado en anteriores encuestas que la forma de transporte en los desplazamientos ya sean aéreos o terrestres, influyen en el nivel del gasto y en la estadía. Por lo que se hace necesario ponderar los resultados de la encuesta por el medio de transporte. Los parámetros de referencia se obtienen de la información trabajada por el INE con base a la información de DIGEMIG. Las estructuras obtenidas de las bases disponibles para los principales países de residencia y destinos visitados para el turismo receptor y emisor respectivamente, deben ser analizadas por una serie </w:t>
      </w:r>
      <w:r w:rsidR="00573E39">
        <w:rPr>
          <w:rFonts w:ascii="Arial" w:hAnsi="Arial"/>
          <w:sz w:val="22"/>
        </w:rPr>
        <w:t>2000-2</w:t>
      </w:r>
      <w:r>
        <w:rPr>
          <w:rFonts w:ascii="Arial" w:hAnsi="Arial"/>
          <w:sz w:val="22"/>
        </w:rPr>
        <w:t>010, de tal manera que exista una correspondencia entre las estructuras adoptadas y las cantidades absolutas de los flujos de la serie</w:t>
      </w:r>
      <w:r w:rsidR="00573E39">
        <w:rPr>
          <w:rFonts w:ascii="Arial" w:hAnsi="Arial"/>
          <w:sz w:val="22"/>
        </w:rPr>
        <w:t>. Se deben obtener ponderadores para principales destinos (turismo emisor) y principales países de residencia (turismo receptor).</w:t>
      </w:r>
    </w:p>
    <w:p w:rsidR="00573E39" w:rsidRDefault="00573E39" w:rsidP="00B107B7">
      <w:pPr>
        <w:pStyle w:val="Prrafodelista"/>
        <w:numPr>
          <w:ilvl w:val="0"/>
          <w:numId w:val="7"/>
        </w:numPr>
        <w:jc w:val="both"/>
        <w:rPr>
          <w:rFonts w:ascii="Arial" w:hAnsi="Arial"/>
          <w:sz w:val="22"/>
        </w:rPr>
      </w:pPr>
      <w:r w:rsidRPr="000863B0">
        <w:rPr>
          <w:rFonts w:ascii="Arial" w:hAnsi="Arial"/>
          <w:b/>
          <w:sz w:val="22"/>
        </w:rPr>
        <w:t>Lugar de residencia de los visitantes no residentes.-</w:t>
      </w:r>
      <w:r>
        <w:rPr>
          <w:rFonts w:ascii="Arial" w:hAnsi="Arial"/>
          <w:sz w:val="22"/>
        </w:rPr>
        <w:t xml:space="preserve"> De los datos obtenidos de anteriores encuestas, se evidencia que el comportamiento y gasto realizado por los visitantes europeos es diferente al comportamiento y gasto de los norteamericanos o sudamericanos. Esta misma diferencia se puede observar inclusive dentro de los países de la misma región. Por consiguiente, se deben aplicar ponderadores del peso relativo de las procedencias de los visitantes, comparando las estructuras de anteriores encuestas. Se podrán realizar cruces con las estadísticas hoteleras.</w:t>
      </w:r>
    </w:p>
    <w:p w:rsidR="0067319B" w:rsidRDefault="00573E39" w:rsidP="00B107B7">
      <w:pPr>
        <w:pStyle w:val="Prrafodelista"/>
        <w:numPr>
          <w:ilvl w:val="0"/>
          <w:numId w:val="7"/>
        </w:numPr>
        <w:jc w:val="both"/>
        <w:rPr>
          <w:rFonts w:ascii="Arial" w:hAnsi="Arial"/>
          <w:sz w:val="22"/>
        </w:rPr>
      </w:pPr>
      <w:r w:rsidRPr="000863B0">
        <w:rPr>
          <w:rFonts w:ascii="Arial" w:hAnsi="Arial"/>
          <w:b/>
          <w:sz w:val="22"/>
        </w:rPr>
        <w:t>Destinos principales de los viajeros residentes al exterior.-</w:t>
      </w:r>
      <w:r>
        <w:rPr>
          <w:rFonts w:ascii="Arial" w:hAnsi="Arial"/>
          <w:sz w:val="22"/>
        </w:rPr>
        <w:t xml:space="preserve"> De la misma forma, también se evidencia que el destino de los viajeros nacionales, las características y niveles de gasto son diferentes. Por lo que también se deben ponderar la estimación del gasto del turismo emisor de acuerdo a la estructura de destinos. Estas estructuras deben ser comparadas </w:t>
      </w:r>
      <w:r w:rsidR="0067319B">
        <w:rPr>
          <w:rFonts w:ascii="Arial" w:hAnsi="Arial"/>
          <w:sz w:val="22"/>
        </w:rPr>
        <w:t>con las obtenidas de anteriores encuestas. Se debe realizar un análisis de los países limítrofes y ver si los pesos son altos, considerar los ponderadores.</w:t>
      </w:r>
    </w:p>
    <w:p w:rsidR="00573E39" w:rsidRDefault="0067319B" w:rsidP="00B107B7">
      <w:pPr>
        <w:pStyle w:val="Prrafodelista"/>
        <w:numPr>
          <w:ilvl w:val="0"/>
          <w:numId w:val="7"/>
        </w:numPr>
        <w:jc w:val="both"/>
        <w:rPr>
          <w:rFonts w:ascii="Arial" w:hAnsi="Arial"/>
          <w:sz w:val="22"/>
        </w:rPr>
      </w:pPr>
      <w:r w:rsidRPr="000863B0">
        <w:rPr>
          <w:rFonts w:ascii="Arial" w:hAnsi="Arial"/>
          <w:b/>
          <w:sz w:val="22"/>
        </w:rPr>
        <w:t>Estadía en el país visitado.-</w:t>
      </w:r>
      <w:r>
        <w:rPr>
          <w:rFonts w:ascii="Arial" w:hAnsi="Arial"/>
          <w:sz w:val="22"/>
        </w:rPr>
        <w:t xml:space="preserve"> Esta variable es también importante puesto que existe una correlación positiva entre niveles de gasto y estadía. Esto se refleja a nivel de cada destino en el caso del turismo emisor y a nivel de país de residencia en el turismo receptor. Por lo que en la base de datos, se debe ponderar implícitamente la estadía al definir la variable gasto medio diario. S</w:t>
      </w:r>
      <w:r w:rsidR="00B8177E">
        <w:rPr>
          <w:rFonts w:ascii="Arial" w:hAnsi="Arial"/>
          <w:sz w:val="22"/>
        </w:rPr>
        <w:t>e</w:t>
      </w:r>
      <w:r>
        <w:rPr>
          <w:rFonts w:ascii="Arial" w:hAnsi="Arial"/>
          <w:sz w:val="22"/>
        </w:rPr>
        <w:t xml:space="preserve"> deben realizar comparaciones a nivel de cada país</w:t>
      </w:r>
      <w:r w:rsidR="00B8177E">
        <w:rPr>
          <w:rFonts w:ascii="Arial" w:hAnsi="Arial"/>
          <w:sz w:val="22"/>
        </w:rPr>
        <w:t xml:space="preserve"> con los resultados obtenidos de otras encuestas para aceptar como válidas las obtenidas en esta encuesta.</w:t>
      </w:r>
      <w:r>
        <w:rPr>
          <w:rFonts w:ascii="Arial" w:hAnsi="Arial"/>
          <w:sz w:val="22"/>
        </w:rPr>
        <w:t xml:space="preserve">  </w:t>
      </w:r>
      <w:r w:rsidR="00573E39">
        <w:rPr>
          <w:rFonts w:ascii="Arial" w:hAnsi="Arial"/>
          <w:sz w:val="22"/>
        </w:rPr>
        <w:t xml:space="preserve">  </w:t>
      </w:r>
    </w:p>
    <w:p w:rsidR="00573E39" w:rsidRPr="00573E39" w:rsidRDefault="00573E39" w:rsidP="00573E39">
      <w:pPr>
        <w:jc w:val="both"/>
        <w:rPr>
          <w:rFonts w:ascii="Arial" w:hAnsi="Arial"/>
          <w:sz w:val="22"/>
        </w:rPr>
      </w:pPr>
    </w:p>
    <w:p w:rsidR="00EC6EEB" w:rsidRPr="007B4883" w:rsidRDefault="00EC6EEB" w:rsidP="007B4883">
      <w:pPr>
        <w:ind w:left="360"/>
        <w:jc w:val="both"/>
        <w:rPr>
          <w:rFonts w:ascii="Arial" w:hAnsi="Arial"/>
          <w:sz w:val="22"/>
        </w:rPr>
      </w:pPr>
    </w:p>
    <w:sectPr w:rsidR="00EC6EEB" w:rsidRPr="007B4883" w:rsidSect="005777FB">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2CF0"/>
    <w:multiLevelType w:val="singleLevel"/>
    <w:tmpl w:val="1AB4F39C"/>
    <w:lvl w:ilvl="0">
      <w:numFmt w:val="bullet"/>
      <w:lvlText w:val="-"/>
      <w:lvlJc w:val="left"/>
      <w:pPr>
        <w:tabs>
          <w:tab w:val="num" w:pos="360"/>
        </w:tabs>
        <w:ind w:left="360" w:hanging="360"/>
      </w:pPr>
      <w:rPr>
        <w:rFonts w:hint="default"/>
      </w:rPr>
    </w:lvl>
  </w:abstractNum>
  <w:abstractNum w:abstractNumId="1">
    <w:nsid w:val="0F23542C"/>
    <w:multiLevelType w:val="singleLevel"/>
    <w:tmpl w:val="1AB4F39C"/>
    <w:lvl w:ilvl="0">
      <w:start w:val="2"/>
      <w:numFmt w:val="bullet"/>
      <w:lvlText w:val="-"/>
      <w:lvlJc w:val="left"/>
      <w:pPr>
        <w:tabs>
          <w:tab w:val="num" w:pos="360"/>
        </w:tabs>
        <w:ind w:left="360" w:hanging="360"/>
      </w:pPr>
      <w:rPr>
        <w:rFonts w:hint="default"/>
      </w:rPr>
    </w:lvl>
  </w:abstractNum>
  <w:abstractNum w:abstractNumId="2">
    <w:nsid w:val="24091F4F"/>
    <w:multiLevelType w:val="hybridMultilevel"/>
    <w:tmpl w:val="FE165B08"/>
    <w:lvl w:ilvl="0" w:tplc="F2401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31095"/>
    <w:multiLevelType w:val="singleLevel"/>
    <w:tmpl w:val="0C0A000F"/>
    <w:lvl w:ilvl="0">
      <w:start w:val="1"/>
      <w:numFmt w:val="decimal"/>
      <w:lvlText w:val="%1."/>
      <w:lvlJc w:val="left"/>
      <w:pPr>
        <w:tabs>
          <w:tab w:val="num" w:pos="360"/>
        </w:tabs>
        <w:ind w:left="360" w:hanging="360"/>
      </w:pPr>
      <w:rPr>
        <w:rFonts w:hint="default"/>
      </w:rPr>
    </w:lvl>
  </w:abstractNum>
  <w:abstractNum w:abstractNumId="4">
    <w:nsid w:val="30ED37ED"/>
    <w:multiLevelType w:val="hybridMultilevel"/>
    <w:tmpl w:val="DE248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77417"/>
    <w:multiLevelType w:val="singleLevel"/>
    <w:tmpl w:val="C8584E30"/>
    <w:lvl w:ilvl="0">
      <w:start w:val="1"/>
      <w:numFmt w:val="lowerRoman"/>
      <w:lvlText w:val="%1)"/>
      <w:lvlJc w:val="left"/>
      <w:pPr>
        <w:tabs>
          <w:tab w:val="num" w:pos="720"/>
        </w:tabs>
        <w:ind w:left="720" w:hanging="720"/>
      </w:pPr>
      <w:rPr>
        <w:rFonts w:hint="default"/>
      </w:rPr>
    </w:lvl>
  </w:abstractNum>
  <w:abstractNum w:abstractNumId="6">
    <w:nsid w:val="65640809"/>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isplayHorizontalDrawingGridEvery w:val="0"/>
  <w:displayVerticalDrawingGridEvery w:val="0"/>
  <w:doNotUseMarginsForDrawingGridOrigin/>
  <w:noPunctuationKerning/>
  <w:characterSpacingControl w:val="doNotCompress"/>
  <w:compat/>
  <w:rsids>
    <w:rsidRoot w:val="00B67324"/>
    <w:rsid w:val="000863B0"/>
    <w:rsid w:val="000D1CE9"/>
    <w:rsid w:val="00156B43"/>
    <w:rsid w:val="001D1BD8"/>
    <w:rsid w:val="00207536"/>
    <w:rsid w:val="00210C7E"/>
    <w:rsid w:val="003560C3"/>
    <w:rsid w:val="003621D6"/>
    <w:rsid w:val="004B497C"/>
    <w:rsid w:val="004B74CD"/>
    <w:rsid w:val="00573E39"/>
    <w:rsid w:val="005777FB"/>
    <w:rsid w:val="005A0D6D"/>
    <w:rsid w:val="00647D14"/>
    <w:rsid w:val="0067319B"/>
    <w:rsid w:val="007B4883"/>
    <w:rsid w:val="008143B2"/>
    <w:rsid w:val="00900876"/>
    <w:rsid w:val="009A76F2"/>
    <w:rsid w:val="00B107B7"/>
    <w:rsid w:val="00B67324"/>
    <w:rsid w:val="00B8177E"/>
    <w:rsid w:val="00B8332B"/>
    <w:rsid w:val="00C379FF"/>
    <w:rsid w:val="00DB068F"/>
    <w:rsid w:val="00EC6EEB"/>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FB"/>
    <w:rPr>
      <w:lang w:val="es-ES"/>
    </w:rPr>
  </w:style>
  <w:style w:type="paragraph" w:styleId="Ttulo1">
    <w:name w:val="heading 1"/>
    <w:basedOn w:val="Normal"/>
    <w:next w:val="Normal"/>
    <w:qFormat/>
    <w:rsid w:val="005777FB"/>
    <w:pPr>
      <w:keepNext/>
      <w:jc w:val="both"/>
      <w:outlineLvl w:val="0"/>
    </w:pPr>
    <w:rPr>
      <w:rFonts w:ascii="Arial" w:hAnsi="Arial"/>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7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ESTADISTICAS DE ENCUESTA AL GASTO TURISMO INTERNACIONAL</vt:lpstr>
    </vt:vector>
  </TitlesOfParts>
  <Company>BANCO CENTRAL DE BOLIVIA</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ESTADISTICAS DE ENCUESTA AL GASTO TURISMO INTERNACIONAL</dc:title>
  <dc:creator>JORGE GARRON MARQUEZ</dc:creator>
  <cp:lastModifiedBy>jcochi</cp:lastModifiedBy>
  <cp:revision>2</cp:revision>
  <cp:lastPrinted>2011-04-04T15:16:00Z</cp:lastPrinted>
  <dcterms:created xsi:type="dcterms:W3CDTF">2014-09-11T12:59:00Z</dcterms:created>
  <dcterms:modified xsi:type="dcterms:W3CDTF">2014-09-11T12:59:00Z</dcterms:modified>
</cp:coreProperties>
</file>